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CBA47" w14:textId="46A5DB50" w:rsidR="009D2E79" w:rsidRPr="00DD4D03" w:rsidRDefault="00DD4D03">
      <w:pPr>
        <w:rPr>
          <w:sz w:val="32"/>
          <w:szCs w:val="32"/>
        </w:rPr>
      </w:pPr>
      <w:r w:rsidRPr="00DD4D03">
        <w:rPr>
          <w:sz w:val="32"/>
          <w:szCs w:val="32"/>
        </w:rPr>
        <w:t>Pathfinder Toolkit: Plasmids and Protocols</w:t>
      </w:r>
    </w:p>
    <w:p w14:paraId="71405357" w14:textId="5CD1B5C2" w:rsidR="00DD4D03" w:rsidRDefault="00DD4D03">
      <w:r>
        <w:rPr>
          <w:b/>
          <w:bCs/>
        </w:rPr>
        <w:t>Plasmids (Summary of Table 1</w:t>
      </w:r>
      <w:r w:rsidR="00CB000F">
        <w:rPr>
          <w:b/>
          <w:bCs/>
        </w:rPr>
        <w:t>, Elston et al. 2023</w:t>
      </w:r>
      <w:r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D4D03" w14:paraId="6C03F9CB" w14:textId="77777777" w:rsidTr="00DD4D03">
        <w:tc>
          <w:tcPr>
            <w:tcW w:w="2337" w:type="dxa"/>
          </w:tcPr>
          <w:p w14:paraId="52233893" w14:textId="5848FC1C" w:rsidR="00DD4D03" w:rsidRDefault="00DD4D03">
            <w:r>
              <w:t>Plasmid</w:t>
            </w:r>
          </w:p>
        </w:tc>
        <w:tc>
          <w:tcPr>
            <w:tcW w:w="2337" w:type="dxa"/>
          </w:tcPr>
          <w:p w14:paraId="2C3E4502" w14:textId="6141F5A3" w:rsidR="00DD4D03" w:rsidRDefault="00DD4D03">
            <w:r>
              <w:t>Origin of Replication</w:t>
            </w:r>
          </w:p>
        </w:tc>
        <w:tc>
          <w:tcPr>
            <w:tcW w:w="2338" w:type="dxa"/>
          </w:tcPr>
          <w:p w14:paraId="6BEA1CE4" w14:textId="7AB9397B" w:rsidR="00DD4D03" w:rsidRDefault="00DD4D03">
            <w:r>
              <w:t>Reporter Gene</w:t>
            </w:r>
          </w:p>
        </w:tc>
        <w:tc>
          <w:tcPr>
            <w:tcW w:w="2338" w:type="dxa"/>
          </w:tcPr>
          <w:p w14:paraId="0F633564" w14:textId="44E59B51" w:rsidR="00DD4D03" w:rsidRDefault="00DD4D03">
            <w:r>
              <w:t>Antibiotic Resistance</w:t>
            </w:r>
          </w:p>
        </w:tc>
      </w:tr>
      <w:tr w:rsidR="00DD4D03" w14:paraId="20AE72A8" w14:textId="77777777" w:rsidTr="005F03BB">
        <w:tc>
          <w:tcPr>
            <w:tcW w:w="2337" w:type="dxa"/>
          </w:tcPr>
          <w:p w14:paraId="6F92D0FC" w14:textId="1198CD8A" w:rsidR="00DD4D03" w:rsidRDefault="00DD4D03">
            <w:r>
              <w:t>pSL1</w:t>
            </w:r>
          </w:p>
        </w:tc>
        <w:tc>
          <w:tcPr>
            <w:tcW w:w="2337" w:type="dxa"/>
            <w:shd w:val="clear" w:color="auto" w:fill="FAE2D5" w:themeFill="accent2" w:themeFillTint="33"/>
          </w:tcPr>
          <w:p w14:paraId="6E6857A5" w14:textId="07333C77" w:rsidR="00DD4D03" w:rsidRDefault="00DD4D03">
            <w:r>
              <w:t>RSF1010</w:t>
            </w:r>
          </w:p>
        </w:tc>
        <w:tc>
          <w:tcPr>
            <w:tcW w:w="2338" w:type="dxa"/>
            <w:shd w:val="clear" w:color="auto" w:fill="D1D1D1" w:themeFill="background2" w:themeFillShade="E6"/>
          </w:tcPr>
          <w:p w14:paraId="33F737C6" w14:textId="760FEBA8" w:rsidR="00DD4D03" w:rsidRDefault="00DD4D03">
            <w:r>
              <w:t>RCP (mRFP1)</w:t>
            </w:r>
          </w:p>
        </w:tc>
        <w:tc>
          <w:tcPr>
            <w:tcW w:w="2338" w:type="dxa"/>
            <w:shd w:val="clear" w:color="auto" w:fill="F2CEED" w:themeFill="accent5" w:themeFillTint="33"/>
          </w:tcPr>
          <w:p w14:paraId="2E2370E3" w14:textId="145FC646" w:rsidR="00DD4D03" w:rsidRDefault="00DD4D03">
            <w:r>
              <w:t>Kan</w:t>
            </w:r>
          </w:p>
        </w:tc>
      </w:tr>
      <w:tr w:rsidR="00DD4D03" w14:paraId="19B831D9" w14:textId="77777777" w:rsidTr="00DD4D03">
        <w:tc>
          <w:tcPr>
            <w:tcW w:w="2337" w:type="dxa"/>
          </w:tcPr>
          <w:p w14:paraId="7CCE07E9" w14:textId="254775E4" w:rsidR="00DD4D03" w:rsidRDefault="00DD4D03">
            <w:r>
              <w:t>pSL1-GFP</w:t>
            </w:r>
          </w:p>
        </w:tc>
        <w:tc>
          <w:tcPr>
            <w:tcW w:w="2337" w:type="dxa"/>
            <w:shd w:val="clear" w:color="auto" w:fill="FAE2D5" w:themeFill="accent2" w:themeFillTint="33"/>
          </w:tcPr>
          <w:p w14:paraId="07127E64" w14:textId="06F97CD9" w:rsidR="00DD4D03" w:rsidRDefault="00DD4D03">
            <w:r>
              <w:t>RSF1010</w:t>
            </w:r>
          </w:p>
        </w:tc>
        <w:tc>
          <w:tcPr>
            <w:tcW w:w="2338" w:type="dxa"/>
          </w:tcPr>
          <w:p w14:paraId="6B8788D5" w14:textId="55DC0DF2" w:rsidR="00DD4D03" w:rsidRDefault="00DD4D03">
            <w:r>
              <w:t>GFP</w:t>
            </w:r>
          </w:p>
        </w:tc>
        <w:tc>
          <w:tcPr>
            <w:tcW w:w="2338" w:type="dxa"/>
            <w:shd w:val="clear" w:color="auto" w:fill="F2CEED" w:themeFill="accent5" w:themeFillTint="33"/>
          </w:tcPr>
          <w:p w14:paraId="499950A9" w14:textId="53D4482A" w:rsidR="00DD4D03" w:rsidRDefault="00DD4D03">
            <w:r>
              <w:t>Kan</w:t>
            </w:r>
          </w:p>
        </w:tc>
      </w:tr>
      <w:tr w:rsidR="00DD4D03" w14:paraId="7B148ABC" w14:textId="77777777" w:rsidTr="005F03BB">
        <w:tc>
          <w:tcPr>
            <w:tcW w:w="2337" w:type="dxa"/>
          </w:tcPr>
          <w:p w14:paraId="5F7167BA" w14:textId="0238DD85" w:rsidR="00DD4D03" w:rsidRDefault="00DD4D03">
            <w:r>
              <w:t>pSL2</w:t>
            </w:r>
          </w:p>
        </w:tc>
        <w:tc>
          <w:tcPr>
            <w:tcW w:w="2337" w:type="dxa"/>
            <w:shd w:val="clear" w:color="auto" w:fill="FAE2D5" w:themeFill="accent2" w:themeFillTint="33"/>
          </w:tcPr>
          <w:p w14:paraId="1CA53C77" w14:textId="2C373B51" w:rsidR="00DD4D03" w:rsidRDefault="00DD4D03">
            <w:r>
              <w:t>RSF1010</w:t>
            </w:r>
          </w:p>
        </w:tc>
        <w:tc>
          <w:tcPr>
            <w:tcW w:w="2338" w:type="dxa"/>
            <w:shd w:val="clear" w:color="auto" w:fill="D1D1D1" w:themeFill="background2" w:themeFillShade="E6"/>
          </w:tcPr>
          <w:p w14:paraId="0A0D584E" w14:textId="4832D501" w:rsidR="00DD4D03" w:rsidRDefault="00DD4D03">
            <w:r>
              <w:t>RCP (mRFP1)</w:t>
            </w:r>
          </w:p>
        </w:tc>
        <w:tc>
          <w:tcPr>
            <w:tcW w:w="2338" w:type="dxa"/>
          </w:tcPr>
          <w:p w14:paraId="3D016F38" w14:textId="74957E0E" w:rsidR="00DD4D03" w:rsidRDefault="00DD4D03">
            <w:r>
              <w:t>Spec</w:t>
            </w:r>
          </w:p>
        </w:tc>
      </w:tr>
      <w:tr w:rsidR="00DD4D03" w14:paraId="349C6790" w14:textId="77777777" w:rsidTr="005F03BB">
        <w:tc>
          <w:tcPr>
            <w:tcW w:w="2337" w:type="dxa"/>
          </w:tcPr>
          <w:p w14:paraId="5E1B54DE" w14:textId="4EBC0E7E" w:rsidR="00DD4D03" w:rsidRDefault="00DD4D03">
            <w:r>
              <w:t>pSL3</w:t>
            </w:r>
          </w:p>
        </w:tc>
        <w:tc>
          <w:tcPr>
            <w:tcW w:w="2337" w:type="dxa"/>
            <w:shd w:val="clear" w:color="auto" w:fill="FAE2D5" w:themeFill="accent2" w:themeFillTint="33"/>
          </w:tcPr>
          <w:p w14:paraId="5993AB2E" w14:textId="5DEB6BE3" w:rsidR="00DD4D03" w:rsidRDefault="00DD4D03">
            <w:r>
              <w:t>RSF1010</w:t>
            </w:r>
          </w:p>
        </w:tc>
        <w:tc>
          <w:tcPr>
            <w:tcW w:w="2338" w:type="dxa"/>
            <w:shd w:val="clear" w:color="auto" w:fill="D1D1D1" w:themeFill="background2" w:themeFillShade="E6"/>
          </w:tcPr>
          <w:p w14:paraId="111AD815" w14:textId="0BF4C4E9" w:rsidR="00DD4D03" w:rsidRDefault="00DD4D03">
            <w:r>
              <w:t>RCP (mRFP1)</w:t>
            </w:r>
          </w:p>
        </w:tc>
        <w:tc>
          <w:tcPr>
            <w:tcW w:w="2338" w:type="dxa"/>
          </w:tcPr>
          <w:p w14:paraId="4DE06556" w14:textId="137A24AA" w:rsidR="00DD4D03" w:rsidRDefault="00DD4D03">
            <w:r>
              <w:t>Gent</w:t>
            </w:r>
          </w:p>
        </w:tc>
      </w:tr>
      <w:tr w:rsidR="00DD4D03" w14:paraId="5C17615E" w14:textId="77777777" w:rsidTr="005F03BB">
        <w:tc>
          <w:tcPr>
            <w:tcW w:w="2337" w:type="dxa"/>
          </w:tcPr>
          <w:p w14:paraId="6F3DD88D" w14:textId="15F8B79D" w:rsidR="00DD4D03" w:rsidRDefault="00DD4D03">
            <w:r>
              <w:t>pSL4</w:t>
            </w:r>
          </w:p>
        </w:tc>
        <w:tc>
          <w:tcPr>
            <w:tcW w:w="2337" w:type="dxa"/>
            <w:shd w:val="clear" w:color="auto" w:fill="FAE2D5" w:themeFill="accent2" w:themeFillTint="33"/>
          </w:tcPr>
          <w:p w14:paraId="32A97FE0" w14:textId="2B96DF06" w:rsidR="00DD4D03" w:rsidRDefault="00DD4D03">
            <w:r>
              <w:t>RSF1010</w:t>
            </w:r>
          </w:p>
        </w:tc>
        <w:tc>
          <w:tcPr>
            <w:tcW w:w="2338" w:type="dxa"/>
            <w:shd w:val="clear" w:color="auto" w:fill="D1D1D1" w:themeFill="background2" w:themeFillShade="E6"/>
          </w:tcPr>
          <w:p w14:paraId="2B9B8885" w14:textId="0DD6FEAC" w:rsidR="00DD4D03" w:rsidRDefault="00DD4D03">
            <w:r>
              <w:t>RCP (mRFP1)</w:t>
            </w:r>
          </w:p>
        </w:tc>
        <w:tc>
          <w:tcPr>
            <w:tcW w:w="2338" w:type="dxa"/>
          </w:tcPr>
          <w:p w14:paraId="08D12F7C" w14:textId="13EDE4B5" w:rsidR="00DD4D03" w:rsidRDefault="00DD4D03">
            <w:r>
              <w:t>Cam</w:t>
            </w:r>
          </w:p>
        </w:tc>
      </w:tr>
      <w:tr w:rsidR="00DD4D03" w14:paraId="106E7AC4" w14:textId="77777777" w:rsidTr="005F03BB">
        <w:tc>
          <w:tcPr>
            <w:tcW w:w="2337" w:type="dxa"/>
          </w:tcPr>
          <w:p w14:paraId="07FF2B45" w14:textId="02CB5B4A" w:rsidR="00DD4D03" w:rsidRDefault="00DD4D03">
            <w:r>
              <w:t>pSL5</w:t>
            </w:r>
          </w:p>
        </w:tc>
        <w:tc>
          <w:tcPr>
            <w:tcW w:w="2337" w:type="dxa"/>
            <w:shd w:val="clear" w:color="auto" w:fill="FAE2D5" w:themeFill="accent2" w:themeFillTint="33"/>
          </w:tcPr>
          <w:p w14:paraId="632B9A8E" w14:textId="55F6B0CF" w:rsidR="00DD4D03" w:rsidRDefault="00DD4D03">
            <w:r>
              <w:t>RSF1010</w:t>
            </w:r>
          </w:p>
        </w:tc>
        <w:tc>
          <w:tcPr>
            <w:tcW w:w="2338" w:type="dxa"/>
            <w:shd w:val="clear" w:color="auto" w:fill="D1D1D1" w:themeFill="background2" w:themeFillShade="E6"/>
          </w:tcPr>
          <w:p w14:paraId="1AD52509" w14:textId="013FF642" w:rsidR="00DD4D03" w:rsidRDefault="00DD4D03">
            <w:r>
              <w:t>RCP (mRFP1)</w:t>
            </w:r>
          </w:p>
        </w:tc>
        <w:tc>
          <w:tcPr>
            <w:tcW w:w="2338" w:type="dxa"/>
          </w:tcPr>
          <w:p w14:paraId="7DFA8FE0" w14:textId="72C3A889" w:rsidR="00DD4D03" w:rsidRDefault="00DD4D03">
            <w:r>
              <w:t>Ery</w:t>
            </w:r>
          </w:p>
        </w:tc>
      </w:tr>
      <w:tr w:rsidR="00DD4D03" w14:paraId="3DD9F90F" w14:textId="77777777" w:rsidTr="005F03BB">
        <w:tc>
          <w:tcPr>
            <w:tcW w:w="2337" w:type="dxa"/>
          </w:tcPr>
          <w:p w14:paraId="79686460" w14:textId="218FCB74" w:rsidR="00DD4D03" w:rsidRDefault="00DD4D03">
            <w:r>
              <w:t>pSL6</w:t>
            </w:r>
          </w:p>
        </w:tc>
        <w:tc>
          <w:tcPr>
            <w:tcW w:w="2337" w:type="dxa"/>
            <w:shd w:val="clear" w:color="auto" w:fill="FAE2D5" w:themeFill="accent2" w:themeFillTint="33"/>
          </w:tcPr>
          <w:p w14:paraId="34DFB967" w14:textId="73E9E7E9" w:rsidR="00DD4D03" w:rsidRDefault="00DD4D03">
            <w:r>
              <w:t>RSF1010</w:t>
            </w:r>
          </w:p>
        </w:tc>
        <w:tc>
          <w:tcPr>
            <w:tcW w:w="2338" w:type="dxa"/>
            <w:shd w:val="clear" w:color="auto" w:fill="D1D1D1" w:themeFill="background2" w:themeFillShade="E6"/>
          </w:tcPr>
          <w:p w14:paraId="05D86815" w14:textId="239E0C06" w:rsidR="00DD4D03" w:rsidRDefault="00DD4D03">
            <w:r>
              <w:t>RCP (mRFP1)</w:t>
            </w:r>
          </w:p>
        </w:tc>
        <w:tc>
          <w:tcPr>
            <w:tcW w:w="2338" w:type="dxa"/>
          </w:tcPr>
          <w:p w14:paraId="5A1DA1ED" w14:textId="0BD560FB" w:rsidR="00DD4D03" w:rsidRDefault="00DD4D03">
            <w:r>
              <w:t>Tet</w:t>
            </w:r>
          </w:p>
        </w:tc>
      </w:tr>
      <w:tr w:rsidR="00DD4D03" w14:paraId="7AD23F57" w14:textId="77777777" w:rsidTr="005F03BB">
        <w:tc>
          <w:tcPr>
            <w:tcW w:w="2337" w:type="dxa"/>
          </w:tcPr>
          <w:p w14:paraId="6E3486DE" w14:textId="0FF367C7" w:rsidR="00DD4D03" w:rsidRDefault="00DD4D03">
            <w:r>
              <w:t>pSL7</w:t>
            </w:r>
          </w:p>
        </w:tc>
        <w:tc>
          <w:tcPr>
            <w:tcW w:w="2337" w:type="dxa"/>
            <w:shd w:val="clear" w:color="auto" w:fill="FAE2D5" w:themeFill="accent2" w:themeFillTint="33"/>
          </w:tcPr>
          <w:p w14:paraId="7026EB5B" w14:textId="6F72D95E" w:rsidR="00DD4D03" w:rsidRDefault="00DD4D03">
            <w:r>
              <w:t>RSF1010</w:t>
            </w:r>
          </w:p>
        </w:tc>
        <w:tc>
          <w:tcPr>
            <w:tcW w:w="2338" w:type="dxa"/>
            <w:shd w:val="clear" w:color="auto" w:fill="D1D1D1" w:themeFill="background2" w:themeFillShade="E6"/>
          </w:tcPr>
          <w:p w14:paraId="201FF3E0" w14:textId="72E95FBD" w:rsidR="00DD4D03" w:rsidRDefault="00DD4D03">
            <w:r>
              <w:t>RCP (mRFP1)</w:t>
            </w:r>
          </w:p>
        </w:tc>
        <w:tc>
          <w:tcPr>
            <w:tcW w:w="2338" w:type="dxa"/>
          </w:tcPr>
          <w:p w14:paraId="04DBAEEC" w14:textId="77E3E354" w:rsidR="00DD4D03" w:rsidRDefault="00DD4D03">
            <w:r>
              <w:t>Carb</w:t>
            </w:r>
          </w:p>
        </w:tc>
      </w:tr>
      <w:tr w:rsidR="00DD4D03" w14:paraId="1AC6E2A1" w14:textId="77777777" w:rsidTr="00DD4D03">
        <w:tc>
          <w:tcPr>
            <w:tcW w:w="2337" w:type="dxa"/>
          </w:tcPr>
          <w:p w14:paraId="2DBADF0C" w14:textId="73AC31B4" w:rsidR="00DD4D03" w:rsidRDefault="00DD4D03">
            <w:r>
              <w:t>pSL9</w:t>
            </w:r>
          </w:p>
        </w:tc>
        <w:tc>
          <w:tcPr>
            <w:tcW w:w="2337" w:type="dxa"/>
            <w:shd w:val="clear" w:color="auto" w:fill="D9F2D0" w:themeFill="accent6" w:themeFillTint="33"/>
          </w:tcPr>
          <w:p w14:paraId="750B97E3" w14:textId="2D899272" w:rsidR="00DD4D03" w:rsidRDefault="00DD4D03">
            <w:r>
              <w:t>pBBR1</w:t>
            </w:r>
          </w:p>
        </w:tc>
        <w:tc>
          <w:tcPr>
            <w:tcW w:w="2338" w:type="dxa"/>
          </w:tcPr>
          <w:p w14:paraId="58CED913" w14:textId="3327F52E" w:rsidR="00DD4D03" w:rsidRDefault="00DD4D03">
            <w:r>
              <w:t>E2C</w:t>
            </w:r>
          </w:p>
        </w:tc>
        <w:tc>
          <w:tcPr>
            <w:tcW w:w="2338" w:type="dxa"/>
            <w:shd w:val="clear" w:color="auto" w:fill="F2CEED" w:themeFill="accent5" w:themeFillTint="33"/>
          </w:tcPr>
          <w:p w14:paraId="126A8040" w14:textId="51B850FE" w:rsidR="00DD4D03" w:rsidRDefault="00DD4D03">
            <w:r>
              <w:t>Kan</w:t>
            </w:r>
          </w:p>
        </w:tc>
      </w:tr>
      <w:tr w:rsidR="00DD4D03" w14:paraId="6C55D00E" w14:textId="77777777" w:rsidTr="00DD4D03">
        <w:tc>
          <w:tcPr>
            <w:tcW w:w="2337" w:type="dxa"/>
          </w:tcPr>
          <w:p w14:paraId="60227A39" w14:textId="62CDD7CE" w:rsidR="00DD4D03" w:rsidRDefault="00DD4D03">
            <w:r>
              <w:t>pSL25</w:t>
            </w:r>
          </w:p>
        </w:tc>
        <w:tc>
          <w:tcPr>
            <w:tcW w:w="2337" w:type="dxa"/>
            <w:shd w:val="clear" w:color="auto" w:fill="C1E4F5" w:themeFill="accent1" w:themeFillTint="33"/>
          </w:tcPr>
          <w:p w14:paraId="25B7CF93" w14:textId="1365A466" w:rsidR="00DD4D03" w:rsidRDefault="00DD4D03">
            <w:r>
              <w:t>RP4</w:t>
            </w:r>
          </w:p>
        </w:tc>
        <w:tc>
          <w:tcPr>
            <w:tcW w:w="2338" w:type="dxa"/>
          </w:tcPr>
          <w:p w14:paraId="17A2FF57" w14:textId="7B0F7CF0" w:rsidR="00DD4D03" w:rsidRDefault="00DD4D03">
            <w:r>
              <w:t>BCP (</w:t>
            </w:r>
            <w:proofErr w:type="spellStart"/>
            <w:r>
              <w:t>amilCP</w:t>
            </w:r>
            <w:proofErr w:type="spellEnd"/>
            <w:r>
              <w:t>)</w:t>
            </w:r>
          </w:p>
        </w:tc>
        <w:tc>
          <w:tcPr>
            <w:tcW w:w="2338" w:type="dxa"/>
            <w:shd w:val="clear" w:color="auto" w:fill="F2CEED" w:themeFill="accent5" w:themeFillTint="33"/>
          </w:tcPr>
          <w:p w14:paraId="632A6446" w14:textId="1FBCB08C" w:rsidR="00DD4D03" w:rsidRDefault="00DD4D03">
            <w:r>
              <w:t xml:space="preserve">Kan </w:t>
            </w:r>
          </w:p>
        </w:tc>
      </w:tr>
    </w:tbl>
    <w:p w14:paraId="4ED303AD" w14:textId="77777777" w:rsidR="00DD4D03" w:rsidRDefault="00DD4D03"/>
    <w:p w14:paraId="4965FFE8" w14:textId="34D57804" w:rsidR="005F03BB" w:rsidRDefault="005F03BB">
      <w:pPr>
        <w:rPr>
          <w:b/>
          <w:bCs/>
        </w:rPr>
      </w:pPr>
      <w:r>
        <w:rPr>
          <w:b/>
          <w:bCs/>
        </w:rPr>
        <w:t>Conjugation Protocol</w:t>
      </w:r>
    </w:p>
    <w:p w14:paraId="47ED6E9C" w14:textId="262ECAC7" w:rsidR="00E733B5" w:rsidRPr="00E733B5" w:rsidRDefault="00E733B5">
      <w:pPr>
        <w:rPr>
          <w:u w:val="single"/>
        </w:rPr>
      </w:pPr>
      <w:r w:rsidRPr="00E733B5">
        <w:rPr>
          <w:u w:val="single"/>
        </w:rPr>
        <w:t>Day 0</w:t>
      </w:r>
    </w:p>
    <w:p w14:paraId="058C9E7E" w14:textId="41C6BB8C" w:rsidR="00E733B5" w:rsidRDefault="00E733B5" w:rsidP="00E733B5">
      <w:pPr>
        <w:pStyle w:val="ListParagraph"/>
        <w:numPr>
          <w:ilvl w:val="0"/>
          <w:numId w:val="5"/>
        </w:numPr>
      </w:pPr>
      <w:r>
        <w:t>Grow overnight cultures of the donor and acceptor strains.</w:t>
      </w:r>
    </w:p>
    <w:p w14:paraId="5C832CE6" w14:textId="58CAE291" w:rsidR="00E733B5" w:rsidRDefault="00E733B5" w:rsidP="00E733B5">
      <w:pPr>
        <w:pStyle w:val="ListParagraph"/>
        <w:numPr>
          <w:ilvl w:val="1"/>
          <w:numId w:val="5"/>
        </w:numPr>
      </w:pPr>
      <w:r>
        <w:t>Donor strains must be grown in the presence of DAP (0.3 mM) and antibiotic (if applicable)</w:t>
      </w:r>
    </w:p>
    <w:p w14:paraId="78F1922D" w14:textId="5E1E79F7" w:rsidR="00E733B5" w:rsidRDefault="00E733B5" w:rsidP="00E733B5">
      <w:r>
        <w:rPr>
          <w:u w:val="single"/>
        </w:rPr>
        <w:t>Day 1</w:t>
      </w:r>
    </w:p>
    <w:p w14:paraId="1D056D45" w14:textId="7AF927D4" w:rsidR="00E733B5" w:rsidRDefault="00E733B5" w:rsidP="00E733B5">
      <w:pPr>
        <w:pStyle w:val="ListParagraph"/>
        <w:numPr>
          <w:ilvl w:val="0"/>
          <w:numId w:val="6"/>
        </w:numPr>
      </w:pPr>
      <w:r>
        <w:t>Gently spin down 1 mL of culture (~</w:t>
      </w:r>
      <w:r w:rsidR="002761A6">
        <w:t>68</w:t>
      </w:r>
      <w:r>
        <w:t xml:space="preserve">00 x g for </w:t>
      </w:r>
      <w:r w:rsidR="002761A6">
        <w:t>1</w:t>
      </w:r>
      <w:r>
        <w:t xml:space="preserve"> minute) and decant the supernatant. </w:t>
      </w:r>
    </w:p>
    <w:p w14:paraId="3B3C4E20" w14:textId="34E389F3" w:rsidR="005A302E" w:rsidRDefault="005A302E" w:rsidP="005A302E">
      <w:pPr>
        <w:pStyle w:val="ListParagraph"/>
        <w:numPr>
          <w:ilvl w:val="1"/>
          <w:numId w:val="6"/>
        </w:numPr>
      </w:pPr>
      <w:r>
        <w:t xml:space="preserve">If working with </w:t>
      </w:r>
      <w:r w:rsidR="002928B0">
        <w:t>plates, scrape growth and resuspend in 1 mL of PBS before spinning down.</w:t>
      </w:r>
    </w:p>
    <w:p w14:paraId="0F5E5C11" w14:textId="29D4AE51" w:rsidR="00E733B5" w:rsidRDefault="00E733B5" w:rsidP="00E733B5">
      <w:pPr>
        <w:pStyle w:val="ListParagraph"/>
        <w:numPr>
          <w:ilvl w:val="0"/>
          <w:numId w:val="6"/>
        </w:numPr>
      </w:pPr>
      <w:r>
        <w:t xml:space="preserve">Resuspend and wash the donor and recipient cells in </w:t>
      </w:r>
      <w:r w:rsidR="00EF475D">
        <w:t>1 m</w:t>
      </w:r>
      <w:r>
        <w:t>L of PBS.</w:t>
      </w:r>
    </w:p>
    <w:p w14:paraId="38D347FC" w14:textId="7E83D7FE" w:rsidR="00E733B5" w:rsidRDefault="00E733B5" w:rsidP="00E733B5">
      <w:pPr>
        <w:pStyle w:val="ListParagraph"/>
        <w:numPr>
          <w:ilvl w:val="0"/>
          <w:numId w:val="6"/>
        </w:numPr>
      </w:pPr>
      <w:r>
        <w:t>Repeat</w:t>
      </w:r>
      <w:r w:rsidR="00603D21">
        <w:t xml:space="preserve"> step 1</w:t>
      </w:r>
      <w:r>
        <w:t xml:space="preserve">, spinning down </w:t>
      </w:r>
      <w:r w:rsidR="00810496">
        <w:t xml:space="preserve">the samples once more, decanting the supernatant, and resuspending in </w:t>
      </w:r>
      <w:r w:rsidR="006C34A9">
        <w:t>1 m</w:t>
      </w:r>
      <w:r w:rsidR="00810496">
        <w:t>L of PBS.</w:t>
      </w:r>
    </w:p>
    <w:p w14:paraId="50F3C8E0" w14:textId="53E0DC34" w:rsidR="00810496" w:rsidRDefault="00810496" w:rsidP="00810496">
      <w:pPr>
        <w:pStyle w:val="ListParagraph"/>
        <w:numPr>
          <w:ilvl w:val="1"/>
          <w:numId w:val="6"/>
        </w:numPr>
      </w:pPr>
      <w:r>
        <w:t>This removes residual antibiotics from the donor cell culture.</w:t>
      </w:r>
    </w:p>
    <w:p w14:paraId="715E59CD" w14:textId="1D8946F9" w:rsidR="00810496" w:rsidRDefault="00810496" w:rsidP="00810496">
      <w:pPr>
        <w:pStyle w:val="ListParagraph"/>
        <w:numPr>
          <w:ilvl w:val="0"/>
          <w:numId w:val="6"/>
        </w:numPr>
      </w:pPr>
      <w:r>
        <w:t>Measure optical density (OD600)</w:t>
      </w:r>
    </w:p>
    <w:p w14:paraId="133B2E92" w14:textId="06C3B0D2" w:rsidR="007C60AB" w:rsidRDefault="007C60AB" w:rsidP="008C66C0">
      <w:pPr>
        <w:pStyle w:val="ListParagraph"/>
        <w:numPr>
          <w:ilvl w:val="1"/>
          <w:numId w:val="6"/>
        </w:numPr>
      </w:pPr>
      <w:r>
        <w:t xml:space="preserve">Blank with PBS (500 </w:t>
      </w:r>
      <w:proofErr w:type="spellStart"/>
      <w:r>
        <w:t>μL</w:t>
      </w:r>
      <w:proofErr w:type="spellEnd"/>
      <w:r>
        <w:t>)</w:t>
      </w:r>
    </w:p>
    <w:p w14:paraId="0C09E706" w14:textId="4754973F" w:rsidR="00646838" w:rsidRDefault="008C66C0" w:rsidP="008C66C0">
      <w:pPr>
        <w:pStyle w:val="ListParagraph"/>
        <w:numPr>
          <w:ilvl w:val="1"/>
          <w:numId w:val="6"/>
        </w:numPr>
      </w:pPr>
      <w:r>
        <w:t xml:space="preserve">Combine 250 </w:t>
      </w:r>
      <w:proofErr w:type="spellStart"/>
      <w:r>
        <w:t>μL</w:t>
      </w:r>
      <w:proofErr w:type="spellEnd"/>
      <w:r>
        <w:t xml:space="preserve"> PBS with 250 </w:t>
      </w:r>
      <w:proofErr w:type="spellStart"/>
      <w:r>
        <w:t>μL</w:t>
      </w:r>
      <w:proofErr w:type="spellEnd"/>
      <w:r>
        <w:t xml:space="preserve"> of the </w:t>
      </w:r>
      <w:r w:rsidR="00646838">
        <w:t>sample in a cuvette</w:t>
      </w:r>
      <w:r w:rsidR="007C60AB">
        <w:t>.</w:t>
      </w:r>
    </w:p>
    <w:p w14:paraId="34D32005" w14:textId="2DC3B070" w:rsidR="00646838" w:rsidRDefault="00646838" w:rsidP="008C66C0">
      <w:pPr>
        <w:pStyle w:val="ListParagraph"/>
        <w:numPr>
          <w:ilvl w:val="1"/>
          <w:numId w:val="6"/>
        </w:numPr>
      </w:pPr>
      <w:r>
        <w:t>Take OD600 readings</w:t>
      </w:r>
      <w:r w:rsidR="007C60AB">
        <w:t>.</w:t>
      </w:r>
    </w:p>
    <w:p w14:paraId="035DEE98" w14:textId="563705BF" w:rsidR="008C66C0" w:rsidRDefault="00646838" w:rsidP="008C66C0">
      <w:pPr>
        <w:pStyle w:val="ListParagraph"/>
        <w:numPr>
          <w:ilvl w:val="1"/>
          <w:numId w:val="6"/>
        </w:numPr>
      </w:pPr>
      <w:r>
        <w:t xml:space="preserve">Multiply the values by 2 </w:t>
      </w:r>
      <w:r w:rsidR="007C60AB">
        <w:t>for the true OD600 of the sample.</w:t>
      </w:r>
      <w:r w:rsidR="008C66C0">
        <w:t xml:space="preserve">  </w:t>
      </w:r>
    </w:p>
    <w:p w14:paraId="7CD51A53" w14:textId="6678CAC6" w:rsidR="00810496" w:rsidRDefault="00810496" w:rsidP="00810496">
      <w:pPr>
        <w:pStyle w:val="ListParagraph"/>
        <w:numPr>
          <w:ilvl w:val="0"/>
          <w:numId w:val="6"/>
        </w:numPr>
      </w:pPr>
      <w:r>
        <w:t xml:space="preserve">Combine a 1:1 ratio of donor and recipient cells in a micro centrifuge tube (100 </w:t>
      </w:r>
      <w:proofErr w:type="spellStart"/>
      <w:r>
        <w:t>μL</w:t>
      </w:r>
      <w:proofErr w:type="spellEnd"/>
      <w:r>
        <w:t xml:space="preserve"> total). Mix by pipetting twice</w:t>
      </w:r>
      <w:r w:rsidR="009975D6">
        <w:t>.</w:t>
      </w:r>
    </w:p>
    <w:p w14:paraId="2D3DC43F" w14:textId="5DA65195" w:rsidR="00810496" w:rsidRDefault="00810496" w:rsidP="00810496">
      <w:pPr>
        <w:pStyle w:val="ListParagraph"/>
        <w:numPr>
          <w:ilvl w:val="1"/>
          <w:numId w:val="6"/>
        </w:numPr>
      </w:pPr>
      <w:r>
        <w:t>Use the Barrick Lab Conjugation Calculator located on the bottom of the conjugation protocol page on the website to determine these values (</w:t>
      </w:r>
      <w:hyperlink r:id="rId8" w:history="1">
        <w:r w:rsidRPr="00134E44">
          <w:rPr>
            <w:rStyle w:val="Hyperlink"/>
          </w:rPr>
          <w:t>https://barricklab.org/twiki/bin/view/Lab/ProtocolsConjugation</w:t>
        </w:r>
      </w:hyperlink>
      <w:r>
        <w:t xml:space="preserve">)  </w:t>
      </w:r>
    </w:p>
    <w:p w14:paraId="704EEAA9" w14:textId="56718550" w:rsidR="00810496" w:rsidRDefault="00810496" w:rsidP="00810496">
      <w:pPr>
        <w:pStyle w:val="ListParagraph"/>
        <w:numPr>
          <w:ilvl w:val="1"/>
          <w:numId w:val="6"/>
        </w:numPr>
      </w:pPr>
      <w:r>
        <w:t xml:space="preserve">For slow growing strains that will be outcompeted rapidly by E. coli, a larger </w:t>
      </w:r>
      <w:proofErr w:type="spellStart"/>
      <w:r>
        <w:t>acceptor:donor</w:t>
      </w:r>
      <w:proofErr w:type="spellEnd"/>
      <w:r>
        <w:t xml:space="preserve"> ratio will yield more transconjugants.</w:t>
      </w:r>
    </w:p>
    <w:p w14:paraId="151524D1" w14:textId="4F37B402" w:rsidR="00810496" w:rsidRDefault="00810496" w:rsidP="00810496">
      <w:pPr>
        <w:pStyle w:val="ListParagraph"/>
        <w:numPr>
          <w:ilvl w:val="2"/>
          <w:numId w:val="6"/>
        </w:numPr>
      </w:pPr>
      <w:r>
        <w:lastRenderedPageBreak/>
        <w:t xml:space="preserve">I suggest a 1:9 ratio (10 </w:t>
      </w:r>
      <w:proofErr w:type="spellStart"/>
      <w:r>
        <w:t>μL</w:t>
      </w:r>
      <w:proofErr w:type="spellEnd"/>
      <w:r>
        <w:t xml:space="preserve"> of donor E. coli for every 90 </w:t>
      </w:r>
      <w:proofErr w:type="spellStart"/>
      <w:r>
        <w:t>μL</w:t>
      </w:r>
      <w:proofErr w:type="spellEnd"/>
      <w:r>
        <w:t xml:space="preserve"> acceptor</w:t>
      </w:r>
      <w:r w:rsidR="009975D6">
        <w:t>, after standardizing to the lowest OD</w:t>
      </w:r>
      <w:r>
        <w:t>)</w:t>
      </w:r>
    </w:p>
    <w:p w14:paraId="5E9A71FD" w14:textId="76B40F7F" w:rsidR="00810496" w:rsidRDefault="00810496" w:rsidP="00810496">
      <w:pPr>
        <w:pStyle w:val="ListParagraph"/>
        <w:numPr>
          <w:ilvl w:val="0"/>
          <w:numId w:val="6"/>
        </w:numPr>
      </w:pPr>
      <w:r>
        <w:t xml:space="preserve">Divide an LB + DAP plate into quadrants and label it </w:t>
      </w:r>
      <w:r w:rsidR="00672D17">
        <w:t>by sample name</w:t>
      </w:r>
      <w:r w:rsidR="00FA1FA3">
        <w:t>.</w:t>
      </w:r>
      <w:r w:rsidR="00816B82">
        <w:t xml:space="preserve"> </w:t>
      </w:r>
    </w:p>
    <w:p w14:paraId="4AFC9C89" w14:textId="22DA40F9" w:rsidR="002869DB" w:rsidRDefault="00810496" w:rsidP="006F6DB4">
      <w:pPr>
        <w:pStyle w:val="ListParagraph"/>
        <w:numPr>
          <w:ilvl w:val="1"/>
          <w:numId w:val="6"/>
        </w:numPr>
      </w:pPr>
      <w:r>
        <w:t>If acceptor bacteria cannot grow on LB, use a</w:t>
      </w:r>
      <w:r w:rsidR="00FA1FA3">
        <w:t xml:space="preserve"> plate they can grow on. Be sure that it is supplemented with DAP.</w:t>
      </w:r>
    </w:p>
    <w:p w14:paraId="60A86FE9" w14:textId="21032B28" w:rsidR="00FA1FA3" w:rsidRDefault="00FA1FA3" w:rsidP="00FA1FA3">
      <w:pPr>
        <w:pStyle w:val="ListParagraph"/>
        <w:numPr>
          <w:ilvl w:val="0"/>
          <w:numId w:val="6"/>
        </w:numPr>
      </w:pPr>
      <w:r>
        <w:t xml:space="preserve">Plate </w:t>
      </w:r>
      <w:r w:rsidR="00816B82">
        <w:t>100</w:t>
      </w:r>
      <w:r>
        <w:t xml:space="preserve"> </w:t>
      </w:r>
      <w:proofErr w:type="spellStart"/>
      <w:r>
        <w:t>μL</w:t>
      </w:r>
      <w:proofErr w:type="spellEnd"/>
      <w:r>
        <w:t xml:space="preserve"> </w:t>
      </w:r>
      <w:r w:rsidR="00816B82">
        <w:t>of each sample</w:t>
      </w:r>
      <w:r>
        <w:t xml:space="preserve"> onto the non-selective plate containing DAP into each quadrant. Do not spread.</w:t>
      </w:r>
    </w:p>
    <w:p w14:paraId="2ACA2C1C" w14:textId="173E3656" w:rsidR="008C2818" w:rsidRDefault="008C2818" w:rsidP="008C2818">
      <w:pPr>
        <w:pStyle w:val="ListParagraph"/>
        <w:numPr>
          <w:ilvl w:val="1"/>
          <w:numId w:val="6"/>
        </w:numPr>
      </w:pPr>
      <w:r>
        <w:t xml:space="preserve">If doing 5+ conjugations, only plate 50 </w:t>
      </w:r>
      <w:proofErr w:type="spellStart"/>
      <w:r>
        <w:t>μL</w:t>
      </w:r>
      <w:proofErr w:type="spellEnd"/>
      <w:r>
        <w:t>.</w:t>
      </w:r>
    </w:p>
    <w:p w14:paraId="1C8330C0" w14:textId="79BD4B94" w:rsidR="00FA1FA3" w:rsidRDefault="00FA1FA3" w:rsidP="00FA1FA3">
      <w:pPr>
        <w:pStyle w:val="ListParagraph"/>
        <w:numPr>
          <w:ilvl w:val="0"/>
          <w:numId w:val="6"/>
        </w:numPr>
      </w:pPr>
      <w:r>
        <w:t xml:space="preserve">Allow the spots to fully dry before placing them in the incubator for overnight growth. </w:t>
      </w:r>
    </w:p>
    <w:p w14:paraId="6D3FD152" w14:textId="0A920EAC" w:rsidR="00531AED" w:rsidRDefault="00531AED" w:rsidP="00531AED">
      <w:pPr>
        <w:pStyle w:val="ListParagraph"/>
        <w:numPr>
          <w:ilvl w:val="1"/>
          <w:numId w:val="6"/>
        </w:numPr>
      </w:pPr>
      <w:r>
        <w:t>Plates can be dried quickly by leaving the lid off in a sterile environment (i.e. having the flame on and plates as close as possible).</w:t>
      </w:r>
    </w:p>
    <w:p w14:paraId="74A61981" w14:textId="2E515938" w:rsidR="00FA1FA3" w:rsidRDefault="00FA1FA3" w:rsidP="00FA1FA3">
      <w:r>
        <w:rPr>
          <w:u w:val="single"/>
        </w:rPr>
        <w:t>Day 2</w:t>
      </w:r>
    </w:p>
    <w:p w14:paraId="6899B186" w14:textId="4028D505" w:rsidR="00FA1FA3" w:rsidRDefault="00FA1FA3" w:rsidP="00FA1FA3">
      <w:pPr>
        <w:pStyle w:val="ListParagraph"/>
        <w:numPr>
          <w:ilvl w:val="0"/>
          <w:numId w:val="7"/>
        </w:numPr>
      </w:pPr>
      <w:r>
        <w:t>Label and fill a microcentrifuge tube with 1 mL of PBS for each sample.</w:t>
      </w:r>
    </w:p>
    <w:p w14:paraId="3C9D1987" w14:textId="3C7340F6" w:rsidR="00FA1FA3" w:rsidRDefault="00FA1FA3" w:rsidP="00FA1FA3">
      <w:pPr>
        <w:pStyle w:val="ListParagraph"/>
        <w:numPr>
          <w:ilvl w:val="0"/>
          <w:numId w:val="7"/>
        </w:numPr>
      </w:pPr>
      <w:r>
        <w:t xml:space="preserve">Scrape up each conjugation mixture and resuspend it in the PBS by vortex. </w:t>
      </w:r>
    </w:p>
    <w:p w14:paraId="7C704A61" w14:textId="4539BF14" w:rsidR="00FA1FA3" w:rsidRDefault="00FA1FA3" w:rsidP="00FA1FA3">
      <w:pPr>
        <w:pStyle w:val="ListParagraph"/>
        <w:numPr>
          <w:ilvl w:val="0"/>
          <w:numId w:val="7"/>
        </w:numPr>
      </w:pPr>
      <w:r>
        <w:t>Gently spin down (~</w:t>
      </w:r>
      <w:r w:rsidR="002761A6">
        <w:t>68</w:t>
      </w:r>
      <w:r>
        <w:t xml:space="preserve">00 x g for </w:t>
      </w:r>
      <w:r w:rsidR="002761A6">
        <w:t>1</w:t>
      </w:r>
      <w:r>
        <w:t xml:space="preserve"> minutes), decant the supernatant, and resuspend in 1 mL of PBS.</w:t>
      </w:r>
    </w:p>
    <w:p w14:paraId="1187FF43" w14:textId="10CAAD6E" w:rsidR="00FA1FA3" w:rsidRDefault="00FA1FA3" w:rsidP="00FA1FA3">
      <w:pPr>
        <w:pStyle w:val="ListParagraph"/>
        <w:numPr>
          <w:ilvl w:val="0"/>
          <w:numId w:val="7"/>
        </w:numPr>
      </w:pPr>
      <w:r>
        <w:t>Dilute the sample(s) to desired level.</w:t>
      </w:r>
    </w:p>
    <w:p w14:paraId="2BDA75E4" w14:textId="0523D6B1" w:rsidR="00FA1FA3" w:rsidRDefault="00FA1FA3" w:rsidP="00FA1FA3">
      <w:pPr>
        <w:pStyle w:val="ListParagraph"/>
        <w:numPr>
          <w:ilvl w:val="1"/>
          <w:numId w:val="7"/>
        </w:numPr>
      </w:pPr>
      <w:r>
        <w:t>For conjugation efficiency / colony counts, serially dilute to 10</w:t>
      </w:r>
      <w:r w:rsidRPr="00FA1FA3">
        <w:rPr>
          <w:vertAlign w:val="superscript"/>
        </w:rPr>
        <w:t>-7</w:t>
      </w:r>
      <w:r>
        <w:t>.</w:t>
      </w:r>
    </w:p>
    <w:p w14:paraId="37CE6C77" w14:textId="127996EE" w:rsidR="00FA1FA3" w:rsidRDefault="00FA1FA3" w:rsidP="00FA1FA3">
      <w:pPr>
        <w:pStyle w:val="ListParagraph"/>
        <w:numPr>
          <w:ilvl w:val="1"/>
          <w:numId w:val="7"/>
        </w:numPr>
      </w:pPr>
      <w:r>
        <w:t>If not, 10</w:t>
      </w:r>
      <w:r>
        <w:rPr>
          <w:vertAlign w:val="superscript"/>
        </w:rPr>
        <w:t>-3</w:t>
      </w:r>
      <w:r>
        <w:t xml:space="preserve"> is sufficient.</w:t>
      </w:r>
    </w:p>
    <w:p w14:paraId="5B185D16" w14:textId="4DC5B899" w:rsidR="00FA1FA3" w:rsidRDefault="00015751" w:rsidP="00FA1FA3">
      <w:pPr>
        <w:pStyle w:val="ListParagraph"/>
        <w:numPr>
          <w:ilvl w:val="0"/>
          <w:numId w:val="7"/>
        </w:numPr>
      </w:pPr>
      <w:r>
        <w:t>To serially dilute</w:t>
      </w:r>
      <w:r w:rsidR="00583A16">
        <w:t xml:space="preserve"> in a 96 well plate</w:t>
      </w:r>
      <w:r>
        <w:t>:</w:t>
      </w:r>
    </w:p>
    <w:p w14:paraId="534A1404" w14:textId="7B474AB9" w:rsidR="00015751" w:rsidRDefault="00015751" w:rsidP="00015751">
      <w:pPr>
        <w:pStyle w:val="ListParagraph"/>
        <w:numPr>
          <w:ilvl w:val="1"/>
          <w:numId w:val="7"/>
        </w:numPr>
      </w:pPr>
      <w:r>
        <w:t xml:space="preserve">Pipette 200 </w:t>
      </w:r>
      <w:proofErr w:type="spellStart"/>
      <w:r>
        <w:t>μL</w:t>
      </w:r>
      <w:proofErr w:type="spellEnd"/>
      <w:r>
        <w:t xml:space="preserve"> of the stock into the first row</w:t>
      </w:r>
      <w:r w:rsidR="00535E5E">
        <w:t xml:space="preserve"> of a sterile 96 well plate</w:t>
      </w:r>
      <w:r>
        <w:t>.</w:t>
      </w:r>
    </w:p>
    <w:p w14:paraId="389DA687" w14:textId="4BDBBBC1" w:rsidR="00015751" w:rsidRDefault="00015751" w:rsidP="00015751">
      <w:pPr>
        <w:pStyle w:val="ListParagraph"/>
        <w:numPr>
          <w:ilvl w:val="1"/>
          <w:numId w:val="7"/>
        </w:numPr>
      </w:pPr>
      <w:r>
        <w:t xml:space="preserve">Pipette 180 </w:t>
      </w:r>
      <w:proofErr w:type="spellStart"/>
      <w:r>
        <w:t>μL</w:t>
      </w:r>
      <w:proofErr w:type="spellEnd"/>
      <w:r>
        <w:t xml:space="preserve"> of PBS into the second row, continuing until you reach the desired dilution.</w:t>
      </w:r>
    </w:p>
    <w:p w14:paraId="6B6841CF" w14:textId="35692749" w:rsidR="00015751" w:rsidRDefault="00015751" w:rsidP="00015751">
      <w:pPr>
        <w:pStyle w:val="ListParagraph"/>
        <w:numPr>
          <w:ilvl w:val="1"/>
          <w:numId w:val="7"/>
        </w:numPr>
      </w:pPr>
      <w:r>
        <w:t xml:space="preserve">Move 20 </w:t>
      </w:r>
      <w:proofErr w:type="spellStart"/>
      <w:r>
        <w:t>μL</w:t>
      </w:r>
      <w:proofErr w:type="spellEnd"/>
      <w:r>
        <w:t xml:space="preserve"> from the stock </w:t>
      </w:r>
      <w:r w:rsidR="00535E5E">
        <w:t xml:space="preserve">(row A) </w:t>
      </w:r>
      <w:r>
        <w:t>into the row below</w:t>
      </w:r>
      <w:r w:rsidR="00535E5E">
        <w:t xml:space="preserve"> (row B)</w:t>
      </w:r>
      <w:r>
        <w:t>. Mix up and down, then discard the tips. Repeat this process from the second row to the third, third to fourth, and so on.</w:t>
      </w:r>
    </w:p>
    <w:p w14:paraId="1238F7C0" w14:textId="11D07A3F" w:rsidR="00015751" w:rsidRDefault="00015751" w:rsidP="00015751">
      <w:pPr>
        <w:pStyle w:val="ListParagraph"/>
        <w:numPr>
          <w:ilvl w:val="0"/>
          <w:numId w:val="7"/>
        </w:numPr>
      </w:pPr>
      <w:r>
        <w:t xml:space="preserve">Spot plate 3 </w:t>
      </w:r>
      <w:proofErr w:type="spellStart"/>
      <w:r>
        <w:t>μL</w:t>
      </w:r>
      <w:proofErr w:type="spellEnd"/>
      <w:r>
        <w:t xml:space="preserve"> of dilutions onto selective (antibiotic containing) and non-selective plates.</w:t>
      </w:r>
    </w:p>
    <w:p w14:paraId="0C527079" w14:textId="54A7BE44" w:rsidR="00015751" w:rsidRDefault="00015751" w:rsidP="00015751">
      <w:pPr>
        <w:pStyle w:val="ListParagraph"/>
        <w:numPr>
          <w:ilvl w:val="1"/>
          <w:numId w:val="7"/>
        </w:numPr>
      </w:pPr>
      <w:r>
        <w:t>Non-selective plates are only necessary if conjugation efficiency is being calculated. Otherwise, one selective plate will suffice.</w:t>
      </w:r>
    </w:p>
    <w:p w14:paraId="63541C8A" w14:textId="0BA9F2B3" w:rsidR="00015751" w:rsidRDefault="00015751" w:rsidP="00015751">
      <w:pPr>
        <w:pStyle w:val="ListParagraph"/>
        <w:numPr>
          <w:ilvl w:val="1"/>
          <w:numId w:val="7"/>
        </w:numPr>
      </w:pPr>
      <w:r>
        <w:t>Plating technical replicates (~3) is suggested, especially for conjugation efficiency.</w:t>
      </w:r>
    </w:p>
    <w:p w14:paraId="5E03B690" w14:textId="069C5D01" w:rsidR="00015751" w:rsidRDefault="00015751" w:rsidP="00015751">
      <w:pPr>
        <w:pStyle w:val="ListParagraph"/>
        <w:numPr>
          <w:ilvl w:val="1"/>
          <w:numId w:val="7"/>
        </w:numPr>
      </w:pPr>
      <w:r>
        <w:t>If only some dilutions are being plated</w:t>
      </w:r>
      <w:r w:rsidR="00815D48">
        <w:t xml:space="preserve"> (i.e. only up to 10</w:t>
      </w:r>
      <w:r w:rsidR="00815D48" w:rsidRPr="00815D48">
        <w:rPr>
          <w:vertAlign w:val="superscript"/>
        </w:rPr>
        <w:t>-3</w:t>
      </w:r>
      <w:r w:rsidR="00815D48">
        <w:t>)</w:t>
      </w:r>
      <w:r>
        <w:t xml:space="preserve">, it is </w:t>
      </w:r>
      <w:r w:rsidR="00815D48">
        <w:t>possible</w:t>
      </w:r>
      <w:r>
        <w:t xml:space="preserve"> to plate up to 50 </w:t>
      </w:r>
      <w:proofErr w:type="spellStart"/>
      <w:r>
        <w:t>μL</w:t>
      </w:r>
      <w:proofErr w:type="spellEnd"/>
      <w:r>
        <w:t xml:space="preserve"> of each </w:t>
      </w:r>
      <w:r w:rsidR="00967712">
        <w:t>dilution</w:t>
      </w:r>
      <w:r w:rsidR="00815D48">
        <w:t xml:space="preserve"> on the plate</w:t>
      </w:r>
      <w:r>
        <w:t xml:space="preserve"> if properly spaced out.</w:t>
      </w:r>
    </w:p>
    <w:p w14:paraId="17DCBA8C" w14:textId="41932492" w:rsidR="00015751" w:rsidRDefault="00015751" w:rsidP="00015751">
      <w:r>
        <w:rPr>
          <w:u w:val="single"/>
        </w:rPr>
        <w:t>Day 3</w:t>
      </w:r>
    </w:p>
    <w:p w14:paraId="16A634E2" w14:textId="705FC7D4" w:rsidR="00015751" w:rsidRDefault="00015751" w:rsidP="00015751">
      <w:pPr>
        <w:pStyle w:val="ListParagraph"/>
        <w:numPr>
          <w:ilvl w:val="0"/>
          <w:numId w:val="8"/>
        </w:numPr>
      </w:pPr>
      <w:r>
        <w:t>Observe plates and, if applicable, count colonies to calculate conjugation efficiency</w:t>
      </w:r>
    </w:p>
    <w:p w14:paraId="543E817F" w14:textId="6A3A3164" w:rsidR="00015751" w:rsidRDefault="00015751" w:rsidP="00015751">
      <w:pPr>
        <w:pStyle w:val="ListParagraph"/>
        <w:numPr>
          <w:ilvl w:val="1"/>
          <w:numId w:val="6"/>
        </w:numPr>
      </w:pPr>
      <w:r>
        <w:t>Use the spreadsheet linked on the Barrick Lab website (</w:t>
      </w:r>
      <w:hyperlink r:id="rId9" w:history="1">
        <w:r w:rsidRPr="00134E44">
          <w:rPr>
            <w:rStyle w:val="Hyperlink"/>
          </w:rPr>
          <w:t>https://barricklab.org/twiki/bin/view/Lab/ProtocolsCFUCounts</w:t>
        </w:r>
      </w:hyperlink>
      <w:r>
        <w:t>) to determine CFU/</w:t>
      </w:r>
      <w:proofErr w:type="spellStart"/>
      <w:r w:rsidR="00967712">
        <w:t>μL</w:t>
      </w:r>
      <w:proofErr w:type="spellEnd"/>
      <w:r>
        <w:t xml:space="preserve"> values.</w:t>
      </w:r>
    </w:p>
    <w:p w14:paraId="0944EB10" w14:textId="3E9369C5" w:rsidR="00015751" w:rsidRDefault="00967712" w:rsidP="00015751">
      <w:pPr>
        <w:pStyle w:val="ListParagraph"/>
        <w:numPr>
          <w:ilvl w:val="0"/>
          <w:numId w:val="8"/>
        </w:numPr>
      </w:pPr>
      <w:r>
        <w:t>Conjugation Efficiency % = [conjugated]/[total], or [selective</w:t>
      </w:r>
      <w:r w:rsidR="00026AA2">
        <w:t xml:space="preserve"> CFU</w:t>
      </w:r>
      <w:r>
        <w:t>]/[non-selective</w:t>
      </w:r>
      <w:r w:rsidR="00026AA2">
        <w:t xml:space="preserve"> CFU</w:t>
      </w:r>
      <w:r>
        <w:t xml:space="preserve">], </w:t>
      </w:r>
      <w:r w:rsidR="001F0C7B">
        <w:t>multiplied by</w:t>
      </w:r>
      <w:r>
        <w:t xml:space="preserve"> 100</w:t>
      </w:r>
      <w:r w:rsidR="001F0C7B">
        <w:t>.</w:t>
      </w:r>
    </w:p>
    <w:p w14:paraId="1C3D2E22" w14:textId="61DE082D" w:rsidR="00967712" w:rsidRPr="00015751" w:rsidRDefault="00967712" w:rsidP="00015751">
      <w:pPr>
        <w:pStyle w:val="ListParagraph"/>
        <w:numPr>
          <w:ilvl w:val="0"/>
          <w:numId w:val="8"/>
        </w:numPr>
      </w:pPr>
      <w:r>
        <w:t xml:space="preserve">Pick a single colony(s) from the selective plate and streak onto a new selective plate or grow in selective liquid media to make a freezer stock of the conjugated sample the next day. </w:t>
      </w:r>
    </w:p>
    <w:p w14:paraId="1ED61553" w14:textId="77777777" w:rsidR="00A9354E" w:rsidRDefault="00A9354E">
      <w:pPr>
        <w:rPr>
          <w:b/>
          <w:bCs/>
        </w:rPr>
      </w:pPr>
      <w:r>
        <w:rPr>
          <w:b/>
          <w:bCs/>
        </w:rPr>
        <w:br w:type="page"/>
      </w:r>
    </w:p>
    <w:p w14:paraId="08185243" w14:textId="36D18488" w:rsidR="005F03BB" w:rsidRDefault="00D90A2B">
      <w:pPr>
        <w:rPr>
          <w:b/>
          <w:bCs/>
        </w:rPr>
      </w:pPr>
      <w:r>
        <w:rPr>
          <w:b/>
          <w:bCs/>
        </w:rPr>
        <w:lastRenderedPageBreak/>
        <w:t>Notes</w:t>
      </w:r>
    </w:p>
    <w:p w14:paraId="5E1E47DF" w14:textId="350F15AC" w:rsidR="00D90A2B" w:rsidRPr="00A66876" w:rsidRDefault="00E733B5" w:rsidP="00D90A2B">
      <w:pPr>
        <w:pStyle w:val="ListParagraph"/>
        <w:numPr>
          <w:ilvl w:val="0"/>
          <w:numId w:val="1"/>
        </w:numPr>
      </w:pPr>
      <w:r>
        <w:t>Previous</w:t>
      </w:r>
      <w:r w:rsidR="00D90A2B">
        <w:t xml:space="preserve"> work in pseudomonas</w:t>
      </w:r>
      <w:r>
        <w:t xml:space="preserve"> showed that RSF1010 backbone plasmids were conjugated at a high efficiency, with pBBR1 and RP4 at much lower efficiencies. </w:t>
      </w:r>
      <w:r>
        <w:rPr>
          <w:rFonts w:ascii="Aptos" w:hAnsi="Aptos"/>
          <w:color w:val="000000"/>
          <w:shd w:val="clear" w:color="auto" w:fill="FFFFFF"/>
        </w:rPr>
        <w:t xml:space="preserve"> </w:t>
      </w:r>
    </w:p>
    <w:p w14:paraId="6D3140B2" w14:textId="762524FA" w:rsidR="00A66876" w:rsidRPr="00D90A2B" w:rsidRDefault="00A66876" w:rsidP="00D90A2B">
      <w:pPr>
        <w:pStyle w:val="ListParagraph"/>
        <w:numPr>
          <w:ilvl w:val="0"/>
          <w:numId w:val="1"/>
        </w:numPr>
      </w:pPr>
      <w:r>
        <w:rPr>
          <w:rFonts w:ascii="Aptos" w:hAnsi="Aptos"/>
          <w:color w:val="000000"/>
          <w:shd w:val="clear" w:color="auto" w:fill="FFFFFF"/>
        </w:rPr>
        <w:t xml:space="preserve">Previous work in </w:t>
      </w:r>
      <w:proofErr w:type="spellStart"/>
      <w:r w:rsidRPr="00A66876">
        <w:rPr>
          <w:rFonts w:ascii="Aptos" w:hAnsi="Aptos"/>
          <w:i/>
          <w:iCs/>
          <w:color w:val="000000"/>
          <w:shd w:val="clear" w:color="auto" w:fill="FFFFFF"/>
        </w:rPr>
        <w:t>Snondgrassella</w:t>
      </w:r>
      <w:proofErr w:type="spellEnd"/>
      <w:r w:rsidRPr="00A66876">
        <w:rPr>
          <w:rFonts w:ascii="Aptos" w:hAnsi="Aptos"/>
          <w:i/>
          <w:iCs/>
          <w:color w:val="000000"/>
          <w:shd w:val="clear" w:color="auto" w:fill="FFFFFF"/>
        </w:rPr>
        <w:t xml:space="preserve"> alvi</w:t>
      </w:r>
      <w:r>
        <w:rPr>
          <w:rFonts w:ascii="Aptos" w:hAnsi="Aptos"/>
          <w:i/>
          <w:iCs/>
          <w:color w:val="000000"/>
          <w:shd w:val="clear" w:color="auto" w:fill="FFFFFF"/>
        </w:rPr>
        <w:t xml:space="preserve"> </w:t>
      </w:r>
      <w:r>
        <w:rPr>
          <w:rFonts w:ascii="Aptos" w:hAnsi="Aptos"/>
          <w:color w:val="000000"/>
          <w:shd w:val="clear" w:color="auto" w:fill="FFFFFF"/>
        </w:rPr>
        <w:t xml:space="preserve">showed that the RSF1010 backbone had the highest conjugation efficiency, with pBBR1 slightly lower, and RP4 unable to be conjugated. </w:t>
      </w:r>
    </w:p>
    <w:p w14:paraId="19F57C00" w14:textId="5B042756" w:rsidR="005F03BB" w:rsidRDefault="005F03BB">
      <w:pPr>
        <w:rPr>
          <w:b/>
          <w:bCs/>
        </w:rPr>
      </w:pPr>
      <w:r>
        <w:rPr>
          <w:b/>
          <w:bCs/>
        </w:rPr>
        <w:t>References</w:t>
      </w:r>
    </w:p>
    <w:p w14:paraId="7F25004F" w14:textId="69F7055B" w:rsidR="005F03BB" w:rsidRPr="005F03BB" w:rsidRDefault="005F03BB">
      <w:r w:rsidRPr="005F03BB">
        <w:rPr>
          <w:rFonts w:cs="Segoe UI"/>
          <w:color w:val="222222"/>
          <w:shd w:val="clear" w:color="auto" w:fill="FFFFFF"/>
        </w:rPr>
        <w:t>Elston, K.M., Phillips, L.E., Leonard, S.P. </w:t>
      </w:r>
      <w:r w:rsidRPr="005F03BB">
        <w:rPr>
          <w:rFonts w:cs="Segoe UI"/>
          <w:i/>
          <w:iCs/>
          <w:color w:val="222222"/>
          <w:shd w:val="clear" w:color="auto" w:fill="FFFFFF"/>
        </w:rPr>
        <w:t>et al.</w:t>
      </w:r>
      <w:r w:rsidRPr="005F03BB">
        <w:rPr>
          <w:rFonts w:cs="Segoe UI"/>
          <w:color w:val="222222"/>
          <w:shd w:val="clear" w:color="auto" w:fill="FFFFFF"/>
        </w:rPr>
        <w:t> The Pathfinder plasmid toolkit for genetically engineering newly isolated bacteria enables the study of </w:t>
      </w:r>
      <w:r w:rsidRPr="005F03BB">
        <w:rPr>
          <w:rFonts w:cs="Segoe UI"/>
          <w:i/>
          <w:iCs/>
          <w:color w:val="222222"/>
          <w:shd w:val="clear" w:color="auto" w:fill="FFFFFF"/>
        </w:rPr>
        <w:t>Drosophila</w:t>
      </w:r>
      <w:r w:rsidRPr="005F03BB">
        <w:rPr>
          <w:rFonts w:cs="Segoe UI"/>
          <w:color w:val="222222"/>
          <w:shd w:val="clear" w:color="auto" w:fill="FFFFFF"/>
        </w:rPr>
        <w:t>-colonizing </w:t>
      </w:r>
      <w:proofErr w:type="spellStart"/>
      <w:r w:rsidRPr="005F03BB">
        <w:rPr>
          <w:rFonts w:cs="Segoe UI"/>
          <w:i/>
          <w:iCs/>
          <w:color w:val="222222"/>
          <w:shd w:val="clear" w:color="auto" w:fill="FFFFFF"/>
        </w:rPr>
        <w:t>Orbaceae</w:t>
      </w:r>
      <w:proofErr w:type="spellEnd"/>
      <w:r w:rsidRPr="005F03BB">
        <w:rPr>
          <w:rFonts w:cs="Segoe UI"/>
          <w:color w:val="222222"/>
          <w:shd w:val="clear" w:color="auto" w:fill="FFFFFF"/>
        </w:rPr>
        <w:t>. </w:t>
      </w:r>
      <w:r w:rsidRPr="005F03BB">
        <w:rPr>
          <w:rFonts w:cs="Segoe UI"/>
          <w:i/>
          <w:iCs/>
          <w:color w:val="222222"/>
          <w:shd w:val="clear" w:color="auto" w:fill="FFFFFF"/>
        </w:rPr>
        <w:t>ISME COMMUN.</w:t>
      </w:r>
      <w:r w:rsidRPr="005F03BB">
        <w:rPr>
          <w:rFonts w:cs="Segoe UI"/>
          <w:color w:val="222222"/>
          <w:shd w:val="clear" w:color="auto" w:fill="FFFFFF"/>
        </w:rPr>
        <w:t> </w:t>
      </w:r>
      <w:r w:rsidRPr="005F03BB">
        <w:rPr>
          <w:rFonts w:cs="Segoe UI"/>
          <w:b/>
          <w:bCs/>
          <w:color w:val="222222"/>
          <w:shd w:val="clear" w:color="auto" w:fill="FFFFFF"/>
        </w:rPr>
        <w:t>3</w:t>
      </w:r>
      <w:r w:rsidRPr="005F03BB">
        <w:rPr>
          <w:rFonts w:cs="Segoe UI"/>
          <w:color w:val="222222"/>
          <w:shd w:val="clear" w:color="auto" w:fill="FFFFFF"/>
        </w:rPr>
        <w:t xml:space="preserve">, 49 (2023). </w:t>
      </w:r>
      <w:hyperlink r:id="rId10" w:history="1">
        <w:r w:rsidR="00967712" w:rsidRPr="00134E44">
          <w:rPr>
            <w:rStyle w:val="Hyperlink"/>
            <w:rFonts w:cs="Segoe UI"/>
            <w:shd w:val="clear" w:color="auto" w:fill="FFFFFF"/>
          </w:rPr>
          <w:t>https://doi.org/10.1038/s43705-023-00255-3</w:t>
        </w:r>
      </w:hyperlink>
      <w:r w:rsidR="00967712">
        <w:rPr>
          <w:rFonts w:cs="Segoe UI"/>
          <w:color w:val="222222"/>
          <w:shd w:val="clear" w:color="auto" w:fill="FFFFFF"/>
        </w:rPr>
        <w:t xml:space="preserve"> </w:t>
      </w:r>
    </w:p>
    <w:sectPr w:rsidR="005F03BB" w:rsidRPr="005F0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30BAC"/>
    <w:multiLevelType w:val="hybridMultilevel"/>
    <w:tmpl w:val="CD249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724ED"/>
    <w:multiLevelType w:val="multilevel"/>
    <w:tmpl w:val="BFF6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163D2"/>
    <w:multiLevelType w:val="hybridMultilevel"/>
    <w:tmpl w:val="56A2F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53F71"/>
    <w:multiLevelType w:val="hybridMultilevel"/>
    <w:tmpl w:val="0BC60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D3C2B"/>
    <w:multiLevelType w:val="hybridMultilevel"/>
    <w:tmpl w:val="55FAC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84128"/>
    <w:multiLevelType w:val="multilevel"/>
    <w:tmpl w:val="A2E2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A5641E"/>
    <w:multiLevelType w:val="multilevel"/>
    <w:tmpl w:val="22F2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854158"/>
    <w:multiLevelType w:val="hybridMultilevel"/>
    <w:tmpl w:val="B90A3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533147">
    <w:abstractNumId w:val="2"/>
  </w:num>
  <w:num w:numId="2" w16cid:durableId="1280605907">
    <w:abstractNumId w:val="6"/>
  </w:num>
  <w:num w:numId="3" w16cid:durableId="1218081472">
    <w:abstractNumId w:val="1"/>
  </w:num>
  <w:num w:numId="4" w16cid:durableId="1889413043">
    <w:abstractNumId w:val="5"/>
  </w:num>
  <w:num w:numId="5" w16cid:durableId="578713274">
    <w:abstractNumId w:val="0"/>
  </w:num>
  <w:num w:numId="6" w16cid:durableId="1154688970">
    <w:abstractNumId w:val="4"/>
  </w:num>
  <w:num w:numId="7" w16cid:durableId="1154763606">
    <w:abstractNumId w:val="7"/>
  </w:num>
  <w:num w:numId="8" w16cid:durableId="420102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03"/>
    <w:rsid w:val="00015751"/>
    <w:rsid w:val="00026AA2"/>
    <w:rsid w:val="000A35DD"/>
    <w:rsid w:val="00167CFD"/>
    <w:rsid w:val="001F0C7B"/>
    <w:rsid w:val="002761A6"/>
    <w:rsid w:val="002869DB"/>
    <w:rsid w:val="002928B0"/>
    <w:rsid w:val="00353FAB"/>
    <w:rsid w:val="00441F34"/>
    <w:rsid w:val="00531AED"/>
    <w:rsid w:val="00535E5E"/>
    <w:rsid w:val="00583A16"/>
    <w:rsid w:val="005A302E"/>
    <w:rsid w:val="005F03BB"/>
    <w:rsid w:val="00603D21"/>
    <w:rsid w:val="00646838"/>
    <w:rsid w:val="00672D17"/>
    <w:rsid w:val="006C34A9"/>
    <w:rsid w:val="006F6DB4"/>
    <w:rsid w:val="007300A6"/>
    <w:rsid w:val="007C60AB"/>
    <w:rsid w:val="00810496"/>
    <w:rsid w:val="00815D48"/>
    <w:rsid w:val="00816B82"/>
    <w:rsid w:val="008713C3"/>
    <w:rsid w:val="008A015D"/>
    <w:rsid w:val="008C2818"/>
    <w:rsid w:val="008C66C0"/>
    <w:rsid w:val="00967712"/>
    <w:rsid w:val="009975D6"/>
    <w:rsid w:val="009D2E79"/>
    <w:rsid w:val="009F7798"/>
    <w:rsid w:val="00A66876"/>
    <w:rsid w:val="00A9354E"/>
    <w:rsid w:val="00B2172A"/>
    <w:rsid w:val="00C64403"/>
    <w:rsid w:val="00CB000F"/>
    <w:rsid w:val="00D90A2B"/>
    <w:rsid w:val="00DD4D03"/>
    <w:rsid w:val="00E733B5"/>
    <w:rsid w:val="00EF475D"/>
    <w:rsid w:val="00FA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98B59"/>
  <w15:chartTrackingRefBased/>
  <w15:docId w15:val="{59759E7E-54AB-4864-9263-364AB9FF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D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D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D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D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D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D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D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D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D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D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D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D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33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ricklab.org/twiki/bin/view/Lab/ProtocolsConjug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38/s43705-023-00255-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arricklab.org/twiki/bin/view/Lab/ProtocolsCFUCou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9A6DEEF40BF40BFE523A7D3C0B33C" ma:contentTypeVersion="9" ma:contentTypeDescription="Create a new document." ma:contentTypeScope="" ma:versionID="b08aff3886f085a118c74578e9916f45">
  <xsd:schema xmlns:xsd="http://www.w3.org/2001/XMLSchema" xmlns:xs="http://www.w3.org/2001/XMLSchema" xmlns:p="http://schemas.microsoft.com/office/2006/metadata/properties" xmlns:ns3="434a7e3b-5cb5-4330-b785-9a4f17fb606a" xmlns:ns4="9d531daa-626b-4d7e-b0be-c2169452dcd1" targetNamespace="http://schemas.microsoft.com/office/2006/metadata/properties" ma:root="true" ma:fieldsID="f4ec4e6b63950de23191db84d20f7dad" ns3:_="" ns4:_="">
    <xsd:import namespace="434a7e3b-5cb5-4330-b785-9a4f17fb606a"/>
    <xsd:import namespace="9d531daa-626b-4d7e-b0be-c2169452dc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a7e3b-5cb5-4330-b785-9a4f17fb6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31daa-626b-4d7e-b0be-c2169452dcd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4a7e3b-5cb5-4330-b785-9a4f17fb606a" xsi:nil="true"/>
  </documentManagement>
</p:properties>
</file>

<file path=customXml/itemProps1.xml><?xml version="1.0" encoding="utf-8"?>
<ds:datastoreItem xmlns:ds="http://schemas.openxmlformats.org/officeDocument/2006/customXml" ds:itemID="{6818EF37-3000-4658-A347-36944F0A7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a7e3b-5cb5-4330-b785-9a4f17fb606a"/>
    <ds:schemaRef ds:uri="9d531daa-626b-4d7e-b0be-c2169452d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AF4410-5973-42AF-A590-74835ADD48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EB163-5191-4EE2-ADA9-983B0F1FAB69}">
  <ds:schemaRefs>
    <ds:schemaRef ds:uri="http://schemas.microsoft.com/office/2006/metadata/properties"/>
    <ds:schemaRef ds:uri="http://schemas.microsoft.com/office/infopath/2007/PartnerControls"/>
    <ds:schemaRef ds:uri="434a7e3b-5cb5-4330-b785-9a4f17fb60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Cope, Kadena</dc:creator>
  <cp:keywords/>
  <dc:description/>
  <cp:lastModifiedBy>Kadena Cope</cp:lastModifiedBy>
  <cp:revision>5</cp:revision>
  <cp:lastPrinted>2024-05-28T17:55:00Z</cp:lastPrinted>
  <dcterms:created xsi:type="dcterms:W3CDTF">2024-05-28T18:38:00Z</dcterms:created>
  <dcterms:modified xsi:type="dcterms:W3CDTF">2024-09-25T18:17:00Z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0x0101007CD9A6DEEF40BF40BFE523A7D3C0B33C</vt:lpwstr>
  </property>
</Properties>
</file>